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2DBA" w14:textId="77777777" w:rsidR="00003B49" w:rsidRPr="00003B49" w:rsidRDefault="00003B49" w:rsidP="00003B49">
      <w:pPr>
        <w:rPr>
          <w:b/>
          <w:bCs/>
        </w:rPr>
      </w:pPr>
      <w:r w:rsidRPr="00003B49">
        <w:rPr>
          <w:b/>
          <w:bCs/>
        </w:rPr>
        <w:t>Das Purimfest – Ursprung, Ablauf und religiöse Verpflichtungen</w:t>
      </w:r>
    </w:p>
    <w:p w14:paraId="5A8C0080" w14:textId="77777777" w:rsidR="00003B49" w:rsidRPr="00003B49" w:rsidRDefault="00003B49" w:rsidP="00003B49">
      <w:r w:rsidRPr="00003B49">
        <w:t xml:space="preserve">Das Purimfest gehört zu den fröhlichsten Festen des Judentums. Es wird jährlich am </w:t>
      </w:r>
      <w:r w:rsidRPr="00003B49">
        <w:rPr>
          <w:b/>
          <w:bCs/>
        </w:rPr>
        <w:t>14. Tag des Monats Adar</w:t>
      </w:r>
      <w:r w:rsidRPr="00003B49">
        <w:t xml:space="preserve"> gefeiert und erinnert an die Rettung der jüdischen Gemeinden im Perserreich vor der drohenden Vernichtung durch den Hofbeamten Haman, wie sie im biblischen </w:t>
      </w:r>
      <w:r w:rsidRPr="00003B49">
        <w:rPr>
          <w:b/>
          <w:bCs/>
        </w:rPr>
        <w:t>Buch Esther</w:t>
      </w:r>
      <w:r w:rsidRPr="00003B49">
        <w:t xml:space="preserve"> erzählt wird. Der Name „Purim“ leitet sich vom persischen </w:t>
      </w:r>
      <w:r w:rsidRPr="00003B49">
        <w:rPr>
          <w:i/>
          <w:iCs/>
        </w:rPr>
        <w:t>pur</w:t>
      </w:r>
      <w:r w:rsidRPr="00003B49">
        <w:t xml:space="preserve"> („Los“) ab und verweist auf das Loswerfen, mit dem Haman den geplanten Vernichtungstag bestimmte.</w:t>
      </w:r>
    </w:p>
    <w:p w14:paraId="47FC16BA" w14:textId="77777777" w:rsidR="00003B49" w:rsidRPr="00003B49" w:rsidRDefault="00003B49" w:rsidP="00003B49">
      <w:r w:rsidRPr="00003B49">
        <w:t xml:space="preserve">Purim ist ein </w:t>
      </w:r>
      <w:r w:rsidRPr="00003B49">
        <w:rPr>
          <w:b/>
          <w:bCs/>
        </w:rPr>
        <w:t>eintägiges Fest</w:t>
      </w:r>
      <w:r w:rsidRPr="00003B49">
        <w:t xml:space="preserve"> (in ummauerten Städten wie Jerusalem wird es am 15. Adar gefeiert), dessen Charakter von Freude, Gemeinschaft und tätiger Nächstenliebe geprägt ist. Diese Ausrichtung kommt in einer klar strukturierten Abfolge von Vorbereitungen, Ritualen und Verpflichtungen zum Ausdruck.</w:t>
      </w:r>
    </w:p>
    <w:p w14:paraId="3408C580" w14:textId="77777777" w:rsidR="00745CF7" w:rsidRDefault="00745CF7" w:rsidP="00003B49"/>
    <w:p w14:paraId="0D97BF31" w14:textId="28327D97" w:rsidR="00003B49" w:rsidRPr="00003B49" w:rsidRDefault="00003B49" w:rsidP="00003B49">
      <w:pPr>
        <w:rPr>
          <w:b/>
          <w:bCs/>
        </w:rPr>
      </w:pPr>
      <w:r w:rsidRPr="00003B49">
        <w:rPr>
          <w:b/>
          <w:bCs/>
        </w:rPr>
        <w:t>Vorbereitung und liturgischer Rahmen</w:t>
      </w:r>
    </w:p>
    <w:p w14:paraId="118E843C" w14:textId="77777777" w:rsidR="00003B49" w:rsidRPr="00003B49" w:rsidRDefault="00003B49" w:rsidP="00003B49">
      <w:r w:rsidRPr="00003B49">
        <w:t xml:space="preserve">Die Festzeit wird liturgisch vorbereitet. Bereits der </w:t>
      </w:r>
      <w:r w:rsidRPr="00003B49">
        <w:rPr>
          <w:b/>
          <w:bCs/>
        </w:rPr>
        <w:t xml:space="preserve">Schabbat </w:t>
      </w:r>
      <w:proofErr w:type="spellStart"/>
      <w:r w:rsidRPr="00003B49">
        <w:rPr>
          <w:b/>
          <w:bCs/>
        </w:rPr>
        <w:t>Schekalim</w:t>
      </w:r>
      <w:proofErr w:type="spellEnd"/>
      <w:r w:rsidRPr="00003B49">
        <w:t xml:space="preserve">, der Sabbat vor Beginn des Monats Adar, erinnert an das Gebot des halben Schekels für den Tempelkult. Der </w:t>
      </w:r>
      <w:r w:rsidRPr="00003B49">
        <w:rPr>
          <w:b/>
          <w:bCs/>
        </w:rPr>
        <w:t>Schabbat Zachor</w:t>
      </w:r>
      <w:r w:rsidRPr="00003B49">
        <w:t>, der unmittelbar vor Purim liegt, ruft die Erinnerung an Amalek wach – jenes Volk, von dem Haman traditionsgeschichtlich hergeleitet wird.</w:t>
      </w:r>
    </w:p>
    <w:p w14:paraId="2373A593" w14:textId="77777777" w:rsidR="00003B49" w:rsidRPr="00003B49" w:rsidRDefault="00003B49" w:rsidP="00003B49">
      <w:r w:rsidRPr="00003B49">
        <w:t xml:space="preserve">Am </w:t>
      </w:r>
      <w:r w:rsidRPr="00003B49">
        <w:rPr>
          <w:b/>
          <w:bCs/>
        </w:rPr>
        <w:t>13. Adar</w:t>
      </w:r>
      <w:r w:rsidRPr="00003B49">
        <w:t xml:space="preserve"> wird das </w:t>
      </w:r>
      <w:r w:rsidRPr="00003B49">
        <w:rPr>
          <w:b/>
          <w:bCs/>
        </w:rPr>
        <w:t>Fasten Esthers</w:t>
      </w:r>
      <w:r w:rsidRPr="00003B49">
        <w:t xml:space="preserve"> begangen. Dieses Fasten erinnert an Esthers existenzielles Risiko, als sie ungerufen vor den König trat, um für ihr Volk einzutreten. Das Fasten endet am Abend mit der ersten öffentlichen Lesung der </w:t>
      </w:r>
      <w:proofErr w:type="spellStart"/>
      <w:r w:rsidRPr="00003B49">
        <w:t>Estherrolle</w:t>
      </w:r>
      <w:proofErr w:type="spellEnd"/>
      <w:r w:rsidRPr="00003B49">
        <w:t>.</w:t>
      </w:r>
    </w:p>
    <w:p w14:paraId="03DF0BB3" w14:textId="77777777" w:rsidR="00745CF7" w:rsidRDefault="00745CF7" w:rsidP="00003B49"/>
    <w:p w14:paraId="72F9A665" w14:textId="4F8D8974" w:rsidR="00003B49" w:rsidRPr="00003B49" w:rsidRDefault="00003B49" w:rsidP="00003B49">
      <w:pPr>
        <w:rPr>
          <w:b/>
          <w:bCs/>
        </w:rPr>
      </w:pPr>
      <w:r w:rsidRPr="00003B49">
        <w:rPr>
          <w:b/>
          <w:bCs/>
        </w:rPr>
        <w:t>Die sieben zentralen Verpflichtungen von Purim</w:t>
      </w:r>
    </w:p>
    <w:p w14:paraId="6E7166C7" w14:textId="77777777" w:rsidR="00003B49" w:rsidRPr="00003B49" w:rsidRDefault="00003B49" w:rsidP="00003B49">
      <w:r w:rsidRPr="00003B49">
        <w:t xml:space="preserve">Die rabbinische Tradition beschreibt Purim </w:t>
      </w:r>
      <w:proofErr w:type="gramStart"/>
      <w:r w:rsidRPr="00003B49">
        <w:t>durch mehrere verpflichtende Handlungen</w:t>
      </w:r>
      <w:proofErr w:type="gramEnd"/>
      <w:r w:rsidRPr="00003B49">
        <w:t>, die gemeinsam den theologischen und sozialen Charakter des Festes ausmachen.</w:t>
      </w:r>
    </w:p>
    <w:p w14:paraId="0F80C453" w14:textId="77777777" w:rsidR="00003B49" w:rsidRPr="00003B49" w:rsidRDefault="00003B49" w:rsidP="00003B49">
      <w:pPr>
        <w:rPr>
          <w:b/>
          <w:bCs/>
        </w:rPr>
      </w:pPr>
      <w:r w:rsidRPr="00003B49">
        <w:rPr>
          <w:b/>
          <w:bCs/>
        </w:rPr>
        <w:t xml:space="preserve">1. Lesung der </w:t>
      </w:r>
      <w:proofErr w:type="spellStart"/>
      <w:r w:rsidRPr="00003B49">
        <w:rPr>
          <w:b/>
          <w:bCs/>
        </w:rPr>
        <w:t>Megillah</w:t>
      </w:r>
      <w:proofErr w:type="spellEnd"/>
      <w:r w:rsidRPr="00003B49">
        <w:rPr>
          <w:b/>
          <w:bCs/>
        </w:rPr>
        <w:t xml:space="preserve"> (</w:t>
      </w:r>
      <w:proofErr w:type="spellStart"/>
      <w:r w:rsidRPr="00003B49">
        <w:rPr>
          <w:b/>
          <w:bCs/>
        </w:rPr>
        <w:t>Estherrolle</w:t>
      </w:r>
      <w:proofErr w:type="spellEnd"/>
      <w:r w:rsidRPr="00003B49">
        <w:rPr>
          <w:b/>
          <w:bCs/>
        </w:rPr>
        <w:t>)</w:t>
      </w:r>
    </w:p>
    <w:p w14:paraId="59F86A82" w14:textId="77777777" w:rsidR="00003B49" w:rsidRPr="00003B49" w:rsidRDefault="00003B49" w:rsidP="00003B49">
      <w:r w:rsidRPr="00003B49">
        <w:t xml:space="preserve">Den Mittelpunkt des Festes bildet die </w:t>
      </w:r>
      <w:r w:rsidRPr="00003B49">
        <w:rPr>
          <w:b/>
          <w:bCs/>
        </w:rPr>
        <w:t xml:space="preserve">öffentliche Lesung der </w:t>
      </w:r>
      <w:proofErr w:type="spellStart"/>
      <w:r w:rsidRPr="00003B49">
        <w:rPr>
          <w:b/>
          <w:bCs/>
        </w:rPr>
        <w:t>Estherrolle</w:t>
      </w:r>
      <w:proofErr w:type="spellEnd"/>
      <w:r w:rsidRPr="00003B49">
        <w:t xml:space="preserve"> (</w:t>
      </w:r>
      <w:proofErr w:type="spellStart"/>
      <w:r w:rsidRPr="00003B49">
        <w:rPr>
          <w:i/>
          <w:iCs/>
        </w:rPr>
        <w:t>Megillat</w:t>
      </w:r>
      <w:proofErr w:type="spellEnd"/>
      <w:r w:rsidRPr="00003B49">
        <w:rPr>
          <w:i/>
          <w:iCs/>
        </w:rPr>
        <w:t xml:space="preserve"> Esther</w:t>
      </w:r>
      <w:r w:rsidRPr="00003B49">
        <w:t xml:space="preserve">). Sie findet sowohl </w:t>
      </w:r>
      <w:r w:rsidRPr="00003B49">
        <w:rPr>
          <w:b/>
          <w:bCs/>
        </w:rPr>
        <w:t>am Abend vor Purim als auch am Morgen des Festtages</w:t>
      </w:r>
      <w:r w:rsidRPr="00003B49">
        <w:t xml:space="preserve"> statt. Männer und Frauen sind gleichermaßen zur Teilnahme verpflichtet.</w:t>
      </w:r>
    </w:p>
    <w:p w14:paraId="2A1AEC92" w14:textId="77777777" w:rsidR="00003B49" w:rsidRPr="00003B49" w:rsidRDefault="00003B49" w:rsidP="00003B49">
      <w:r w:rsidRPr="00003B49">
        <w:t xml:space="preserve">Die Lesung ist liturgisch ausgestaltet: Drei Segenssprüche eröffnen sie, die Gemeinde antwortet mit „Amen“. Der Vortrag variiert im Tempo und Tonfall je nach Erzählabschnitt. Eine besondere Tradition besteht darin, die </w:t>
      </w:r>
      <w:r w:rsidRPr="00003B49">
        <w:rPr>
          <w:b/>
          <w:bCs/>
        </w:rPr>
        <w:t>Namen der zehn Söhne Hamans</w:t>
      </w:r>
      <w:r w:rsidRPr="00003B49">
        <w:t xml:space="preserve"> in einem Atemzug zu lesen – als Zeichen ihrer gleichzeitigen Hinrichtung. Beim Erklingen von Hamans Namen übertönen Kinder diesen mit Rasseln, während Mordechais Name mit leisen Segenswünschen begleitet wird. Die sogenannten „vier Verse der Erlösung“ werden von der Gemeinde gemeinsam rezitiert.</w:t>
      </w:r>
    </w:p>
    <w:p w14:paraId="65F273BB" w14:textId="77777777" w:rsidR="00003B49" w:rsidRPr="00003B49" w:rsidRDefault="00003B49" w:rsidP="00003B49">
      <w:pPr>
        <w:rPr>
          <w:b/>
          <w:bCs/>
        </w:rPr>
      </w:pPr>
      <w:r w:rsidRPr="00003B49">
        <w:rPr>
          <w:b/>
          <w:bCs/>
        </w:rPr>
        <w:t>2. Festmahl (</w:t>
      </w:r>
      <w:proofErr w:type="spellStart"/>
      <w:r w:rsidRPr="00003B49">
        <w:rPr>
          <w:b/>
          <w:bCs/>
        </w:rPr>
        <w:t>Seudat</w:t>
      </w:r>
      <w:proofErr w:type="spellEnd"/>
      <w:r w:rsidRPr="00003B49">
        <w:rPr>
          <w:b/>
          <w:bCs/>
        </w:rPr>
        <w:t xml:space="preserve"> Purim)</w:t>
      </w:r>
    </w:p>
    <w:p w14:paraId="214EACD8" w14:textId="77777777" w:rsidR="00003B49" w:rsidRPr="00003B49" w:rsidRDefault="00003B49" w:rsidP="00003B49">
      <w:r w:rsidRPr="00003B49">
        <w:lastRenderedPageBreak/>
        <w:t xml:space="preserve">Am Purim-Tag wird ein </w:t>
      </w:r>
      <w:r w:rsidRPr="00003B49">
        <w:rPr>
          <w:b/>
          <w:bCs/>
        </w:rPr>
        <w:t>festliches Mahl</w:t>
      </w:r>
      <w:r w:rsidRPr="00003B49">
        <w:t xml:space="preserve"> gefeiert (</w:t>
      </w:r>
      <w:proofErr w:type="spellStart"/>
      <w:r w:rsidRPr="00003B49">
        <w:rPr>
          <w:i/>
          <w:iCs/>
        </w:rPr>
        <w:t>Seudah</w:t>
      </w:r>
      <w:proofErr w:type="spellEnd"/>
      <w:r w:rsidRPr="00003B49">
        <w:t xml:space="preserve">), meist am Nachmittag oder Abend. Dieses Mahl soll die biblische Aufforderung erfüllen, Purim als „Tage des Essens, Trinkens und der Freude“ zu begehen. Traditionell wird Wein gereicht. Der oft zitierte talmudische Satz, man solle so viel trinken, dass man „nicht mehr zwischen dem Segen Mordechais und dem Fluch Hamans unterscheiden kann“, wird in der Praxis meist </w:t>
      </w:r>
      <w:r w:rsidRPr="00003B49">
        <w:rPr>
          <w:b/>
          <w:bCs/>
        </w:rPr>
        <w:t>maßvoll</w:t>
      </w:r>
      <w:r w:rsidRPr="00003B49">
        <w:t xml:space="preserve"> interpretiert.</w:t>
      </w:r>
    </w:p>
    <w:p w14:paraId="6249A120" w14:textId="77777777" w:rsidR="00003B49" w:rsidRPr="00003B49" w:rsidRDefault="00003B49" w:rsidP="00003B49">
      <w:pPr>
        <w:rPr>
          <w:b/>
          <w:bCs/>
        </w:rPr>
      </w:pPr>
      <w:r w:rsidRPr="00003B49">
        <w:rPr>
          <w:b/>
          <w:bCs/>
        </w:rPr>
        <w:t>3. Essensgeschenke an Freunde (</w:t>
      </w:r>
      <w:proofErr w:type="spellStart"/>
      <w:r w:rsidRPr="00003B49">
        <w:rPr>
          <w:b/>
          <w:bCs/>
        </w:rPr>
        <w:t>Mischloach</w:t>
      </w:r>
      <w:proofErr w:type="spellEnd"/>
      <w:r w:rsidRPr="00003B49">
        <w:rPr>
          <w:b/>
          <w:bCs/>
        </w:rPr>
        <w:t xml:space="preserve"> Manot)</w:t>
      </w:r>
    </w:p>
    <w:p w14:paraId="3DB72D7B" w14:textId="77777777" w:rsidR="00003B49" w:rsidRPr="00003B49" w:rsidRDefault="00003B49" w:rsidP="00003B49">
      <w:r w:rsidRPr="00003B49">
        <w:t xml:space="preserve">Eine weitere Verpflichtung ist das </w:t>
      </w:r>
      <w:r w:rsidRPr="00003B49">
        <w:rPr>
          <w:b/>
          <w:bCs/>
        </w:rPr>
        <w:t>Versenden von Essensgeschenken</w:t>
      </w:r>
      <w:r w:rsidRPr="00003B49">
        <w:t xml:space="preserve"> an mindestens eine andere Person. Vorgeschrieben sind </w:t>
      </w:r>
      <w:r w:rsidRPr="00003B49">
        <w:rPr>
          <w:b/>
          <w:bCs/>
        </w:rPr>
        <w:t>zwei unterschiedliche zubereitete Speisen oder Getränke</w:t>
      </w:r>
      <w:r w:rsidRPr="00003B49">
        <w:t>. Diese Praxis fördert Gemeinschaft, gegenseitige Verbundenheit und soziale Freude.</w:t>
      </w:r>
    </w:p>
    <w:p w14:paraId="37588DE4" w14:textId="77777777" w:rsidR="00003B49" w:rsidRPr="00003B49" w:rsidRDefault="00003B49" w:rsidP="00003B49">
      <w:pPr>
        <w:rPr>
          <w:b/>
          <w:bCs/>
        </w:rPr>
      </w:pPr>
      <w:r w:rsidRPr="00003B49">
        <w:rPr>
          <w:b/>
          <w:bCs/>
        </w:rPr>
        <w:t>4. Gaben für die Armen (</w:t>
      </w:r>
      <w:proofErr w:type="spellStart"/>
      <w:r w:rsidRPr="00003B49">
        <w:rPr>
          <w:b/>
          <w:bCs/>
        </w:rPr>
        <w:t>Matanot</w:t>
      </w:r>
      <w:proofErr w:type="spellEnd"/>
      <w:r w:rsidRPr="00003B49">
        <w:rPr>
          <w:b/>
          <w:bCs/>
        </w:rPr>
        <w:t xml:space="preserve"> la-</w:t>
      </w:r>
      <w:proofErr w:type="spellStart"/>
      <w:r w:rsidRPr="00003B49">
        <w:rPr>
          <w:b/>
          <w:bCs/>
        </w:rPr>
        <w:t>Evjonim</w:t>
      </w:r>
      <w:proofErr w:type="spellEnd"/>
      <w:r w:rsidRPr="00003B49">
        <w:rPr>
          <w:b/>
          <w:bCs/>
        </w:rPr>
        <w:t>)</w:t>
      </w:r>
    </w:p>
    <w:p w14:paraId="5B48453C" w14:textId="77777777" w:rsidR="00003B49" w:rsidRPr="00003B49" w:rsidRDefault="00003B49" w:rsidP="00003B49">
      <w:r w:rsidRPr="00003B49">
        <w:t xml:space="preserve">Von besonderer theologischer Bedeutung ist das </w:t>
      </w:r>
      <w:r w:rsidRPr="00003B49">
        <w:rPr>
          <w:b/>
          <w:bCs/>
        </w:rPr>
        <w:t>Schenken an Bedürftige</w:t>
      </w:r>
      <w:r w:rsidRPr="00003B49">
        <w:t xml:space="preserve">. Jede Person soll mindestens </w:t>
      </w:r>
      <w:r w:rsidRPr="00003B49">
        <w:rPr>
          <w:b/>
          <w:bCs/>
        </w:rPr>
        <w:t>zwei armen Menschen</w:t>
      </w:r>
      <w:r w:rsidRPr="00003B49">
        <w:t xml:space="preserve"> eine Gabe zukommen lassen, sei es in Form von Geld, Essen oder anderen notwendigen Gütern. Rabbinische Ausleger betonen ausdrücklich, dass die Unterstützung der Armen </w:t>
      </w:r>
      <w:r w:rsidRPr="00003B49">
        <w:rPr>
          <w:b/>
          <w:bCs/>
        </w:rPr>
        <w:t>wichtiger ist als ein besonders aufwendiges eigenes Festmahl</w:t>
      </w:r>
      <w:r w:rsidRPr="00003B49">
        <w:t>. Auch Bedürftige selbst sind zur Beteiligung verpflichtet, um niemanden vom Freudenfest auszuschließen.</w:t>
      </w:r>
    </w:p>
    <w:p w14:paraId="7E94EDBA" w14:textId="77777777" w:rsidR="00003B49" w:rsidRPr="00003B49" w:rsidRDefault="00003B49" w:rsidP="00003B49">
      <w:pPr>
        <w:rPr>
          <w:b/>
          <w:bCs/>
        </w:rPr>
      </w:pPr>
      <w:r w:rsidRPr="00003B49">
        <w:rPr>
          <w:b/>
          <w:bCs/>
        </w:rPr>
        <w:t>5. Gedenkspende vor Purim</w:t>
      </w:r>
    </w:p>
    <w:p w14:paraId="3270FE18" w14:textId="77777777" w:rsidR="00003B49" w:rsidRPr="00003B49" w:rsidRDefault="00003B49" w:rsidP="00003B49">
      <w:r w:rsidRPr="00003B49">
        <w:t xml:space="preserve">Vor dem Fest ist es üblich, eine </w:t>
      </w:r>
      <w:r w:rsidRPr="00003B49">
        <w:rPr>
          <w:b/>
          <w:bCs/>
        </w:rPr>
        <w:t>halbe Münze</w:t>
      </w:r>
      <w:r w:rsidRPr="00003B49">
        <w:t xml:space="preserve"> zu spenden. Diese Praxis erinnert an den halben Schekel, der in biblischer Zeit für gemeinschaftliche Opfergaben entrichtet wurde, und verbindet Purim mit älteren kultischen Traditionen Israels.</w:t>
      </w:r>
    </w:p>
    <w:p w14:paraId="33D0AC92" w14:textId="77777777" w:rsidR="00003B49" w:rsidRPr="00003B49" w:rsidRDefault="00003B49" w:rsidP="00003B49">
      <w:pPr>
        <w:rPr>
          <w:b/>
          <w:bCs/>
        </w:rPr>
      </w:pPr>
      <w:r w:rsidRPr="00003B49">
        <w:rPr>
          <w:b/>
          <w:bCs/>
        </w:rPr>
        <w:t>6. Verbot von Fasten und Trauer</w:t>
      </w:r>
    </w:p>
    <w:p w14:paraId="67792C50" w14:textId="77777777" w:rsidR="00003B49" w:rsidRPr="00003B49" w:rsidRDefault="00003B49" w:rsidP="00003B49">
      <w:r w:rsidRPr="00003B49">
        <w:t xml:space="preserve">Am </w:t>
      </w:r>
      <w:r w:rsidRPr="00003B49">
        <w:rPr>
          <w:b/>
          <w:bCs/>
        </w:rPr>
        <w:t>14. und 15. Adar</w:t>
      </w:r>
      <w:r w:rsidRPr="00003B49">
        <w:t xml:space="preserve"> sind </w:t>
      </w:r>
      <w:r w:rsidRPr="00003B49">
        <w:rPr>
          <w:b/>
          <w:bCs/>
        </w:rPr>
        <w:t>Fasten und Trauerreden untersagt</w:t>
      </w:r>
      <w:r w:rsidRPr="00003B49">
        <w:t>. Purim soll ausdrücklich als Fest ungetrübter Freude begangen werden.</w:t>
      </w:r>
    </w:p>
    <w:p w14:paraId="3F3FC750" w14:textId="77777777" w:rsidR="00745CF7" w:rsidRDefault="00745CF7" w:rsidP="00003B49"/>
    <w:p w14:paraId="2B9B6DF4" w14:textId="1ED07C5D" w:rsidR="00003B49" w:rsidRPr="00003B49" w:rsidRDefault="00003B49" w:rsidP="00003B49">
      <w:pPr>
        <w:rPr>
          <w:b/>
          <w:bCs/>
        </w:rPr>
      </w:pPr>
      <w:r w:rsidRPr="00003B49">
        <w:rPr>
          <w:b/>
          <w:bCs/>
        </w:rPr>
        <w:t xml:space="preserve">Feierformen am </w:t>
      </w:r>
      <w:proofErr w:type="spellStart"/>
      <w:r w:rsidRPr="00003B49">
        <w:rPr>
          <w:b/>
          <w:bCs/>
        </w:rPr>
        <w:t>Purimtag</w:t>
      </w:r>
      <w:proofErr w:type="spellEnd"/>
    </w:p>
    <w:p w14:paraId="04D5E969" w14:textId="77777777" w:rsidR="00003B49" w:rsidRPr="00003B49" w:rsidRDefault="00003B49" w:rsidP="00003B49">
      <w:r w:rsidRPr="00003B49">
        <w:t xml:space="preserve">Am Morgen des Purimfestes wird die </w:t>
      </w:r>
      <w:proofErr w:type="spellStart"/>
      <w:r w:rsidRPr="00003B49">
        <w:t>Estherrolle</w:t>
      </w:r>
      <w:proofErr w:type="spellEnd"/>
      <w:r w:rsidRPr="00003B49">
        <w:t xml:space="preserve"> erneut gelesen, diesmal in oft gelöster, fast ausgelassener Atmosphäre. </w:t>
      </w:r>
      <w:r w:rsidRPr="00003B49">
        <w:rPr>
          <w:b/>
          <w:bCs/>
        </w:rPr>
        <w:t>Kinder verkleiden sich</w:t>
      </w:r>
      <w:r w:rsidRPr="00003B49">
        <w:t xml:space="preserve"> als Figuren der </w:t>
      </w:r>
      <w:proofErr w:type="spellStart"/>
      <w:r w:rsidRPr="00003B49">
        <w:t>Esthergeschichte</w:t>
      </w:r>
      <w:proofErr w:type="spellEnd"/>
      <w:r w:rsidRPr="00003B49">
        <w:t>, es werden Lieder gesungen und humorvolle Elemente eingebunden. Der Tag ist geprägt vom Austausch von Geschenken, vom Miteinander der Generationen und vom gemeinsamen Mahl im familiären Rahmen.</w:t>
      </w:r>
    </w:p>
    <w:p w14:paraId="5B816661" w14:textId="77777777" w:rsidR="00745CF7" w:rsidRDefault="00745CF7" w:rsidP="00003B49"/>
    <w:p w14:paraId="3A7C257F" w14:textId="0CCE2580" w:rsidR="00003B49" w:rsidRPr="00003B49" w:rsidRDefault="00003B49" w:rsidP="00003B49">
      <w:pPr>
        <w:rPr>
          <w:b/>
          <w:bCs/>
        </w:rPr>
      </w:pPr>
      <w:r w:rsidRPr="00003B49">
        <w:rPr>
          <w:b/>
          <w:bCs/>
        </w:rPr>
        <w:t>Theologische Akzente</w:t>
      </w:r>
    </w:p>
    <w:p w14:paraId="47B75E71" w14:textId="77777777" w:rsidR="00003B49" w:rsidRPr="00003B49" w:rsidRDefault="00003B49" w:rsidP="00003B49">
      <w:r w:rsidRPr="00003B49">
        <w:lastRenderedPageBreak/>
        <w:t xml:space="preserve">Theologisch ist Purim bemerkenswert, weil </w:t>
      </w:r>
      <w:r w:rsidRPr="00003B49">
        <w:rPr>
          <w:b/>
          <w:bCs/>
        </w:rPr>
        <w:t>Gott im Buch Esther nicht ausdrücklich genannt wird</w:t>
      </w:r>
      <w:r w:rsidRPr="00003B49">
        <w:t>, sein rettendes Handeln jedoch im Zusammenspiel menschlicher Entscheidungen sichtbar wird. Purim feiert daher die verborgene, aber wirksame Bewahrung Gottes, die sich im Alltag, in politischen Wendungen und im mutigen Handeln einzelner Menschen zeigt. Die starke Betonung von Gemeinschaft, Solidarität und Fürsorge für Arme macht deutlich, dass Rettung stets auch soziale Konsequenzen hat.</w:t>
      </w:r>
    </w:p>
    <w:p w14:paraId="046466D9" w14:textId="77777777" w:rsidR="00745CF7" w:rsidRDefault="00745CF7" w:rsidP="00003B49"/>
    <w:p w14:paraId="2FA28E70" w14:textId="0E419100" w:rsidR="00003B49" w:rsidRPr="00003B49" w:rsidRDefault="00003B49" w:rsidP="00003B49">
      <w:pPr>
        <w:rPr>
          <w:b/>
          <w:bCs/>
        </w:rPr>
      </w:pPr>
      <w:r w:rsidRPr="00003B49">
        <w:rPr>
          <w:b/>
          <w:bCs/>
        </w:rPr>
        <w:t>Literatur</w:t>
      </w:r>
    </w:p>
    <w:p w14:paraId="0A3F1983" w14:textId="77777777" w:rsidR="00003B49" w:rsidRPr="00003B49" w:rsidRDefault="00003B49" w:rsidP="00003B49">
      <w:pPr>
        <w:numPr>
          <w:ilvl w:val="0"/>
          <w:numId w:val="1"/>
        </w:numPr>
        <w:rPr>
          <w:lang w:val="en-GB"/>
        </w:rPr>
      </w:pPr>
      <w:r w:rsidRPr="00003B49">
        <w:rPr>
          <w:lang w:val="en-GB"/>
        </w:rPr>
        <w:t xml:space="preserve">Hayim H. Donin, </w:t>
      </w:r>
      <w:r w:rsidRPr="00003B49">
        <w:rPr>
          <w:i/>
          <w:iCs/>
          <w:lang w:val="en-GB"/>
        </w:rPr>
        <w:t>To Be a Jew: A Guide to Jewish Observance in Contemporary Life</w:t>
      </w:r>
      <w:r w:rsidRPr="00003B49">
        <w:rPr>
          <w:lang w:val="en-GB"/>
        </w:rPr>
        <w:t xml:space="preserve"> (New York: Basic Books, 2019), 346–348.</w:t>
      </w:r>
    </w:p>
    <w:p w14:paraId="31C25A42" w14:textId="77777777" w:rsidR="00003B49" w:rsidRPr="00003B49" w:rsidRDefault="00003B49" w:rsidP="00003B49">
      <w:pPr>
        <w:numPr>
          <w:ilvl w:val="0"/>
          <w:numId w:val="1"/>
        </w:numPr>
      </w:pPr>
      <w:r w:rsidRPr="00003B49">
        <w:rPr>
          <w:lang w:val="en-GB"/>
        </w:rPr>
        <w:t xml:space="preserve">Paul Fieldhouse, </w:t>
      </w:r>
      <w:r w:rsidRPr="00003B49">
        <w:rPr>
          <w:i/>
          <w:iCs/>
          <w:lang w:val="en-GB"/>
        </w:rPr>
        <w:t xml:space="preserve">Food, Feasts, and Faith: An </w:t>
      </w:r>
      <w:proofErr w:type="spellStart"/>
      <w:r w:rsidRPr="00003B49">
        <w:rPr>
          <w:i/>
          <w:iCs/>
          <w:lang w:val="en-GB"/>
        </w:rPr>
        <w:t>Encyclopedia</w:t>
      </w:r>
      <w:proofErr w:type="spellEnd"/>
      <w:r w:rsidRPr="00003B49">
        <w:rPr>
          <w:i/>
          <w:iCs/>
          <w:lang w:val="en-GB"/>
        </w:rPr>
        <w:t xml:space="preserve"> of Food Culture in World Religions</w:t>
      </w:r>
      <w:r w:rsidRPr="00003B49">
        <w:rPr>
          <w:lang w:val="en-GB"/>
        </w:rPr>
        <w:t xml:space="preserve">, 2 </w:t>
      </w:r>
      <w:proofErr w:type="spellStart"/>
      <w:r w:rsidRPr="00003B49">
        <w:rPr>
          <w:lang w:val="en-GB"/>
        </w:rPr>
        <w:t>Bde</w:t>
      </w:r>
      <w:proofErr w:type="spellEnd"/>
      <w:r w:rsidRPr="00003B49">
        <w:rPr>
          <w:lang w:val="en-GB"/>
        </w:rPr>
        <w:t xml:space="preserve">. </w:t>
      </w:r>
      <w:r w:rsidRPr="00003B49">
        <w:t>(New York: ABC-CLIO, 2017).</w:t>
      </w:r>
    </w:p>
    <w:p w14:paraId="080D5B24" w14:textId="77777777" w:rsidR="00003B49" w:rsidRPr="00003B49" w:rsidRDefault="00003B49" w:rsidP="00003B49">
      <w:pPr>
        <w:numPr>
          <w:ilvl w:val="0"/>
          <w:numId w:val="1"/>
        </w:numPr>
        <w:rPr>
          <w:lang w:val="en-GB"/>
        </w:rPr>
      </w:pPr>
      <w:r w:rsidRPr="00003B49">
        <w:rPr>
          <w:lang w:val="en-GB"/>
        </w:rPr>
        <w:t xml:space="preserve">Arnold G. Fruchtenbaum, </w:t>
      </w:r>
      <w:r w:rsidRPr="00003B49">
        <w:rPr>
          <w:i/>
          <w:iCs/>
          <w:lang w:val="en-GB"/>
        </w:rPr>
        <w:t>The Feasts and Fasts of Israel: Their Historical and Prophetic Significance</w:t>
      </w:r>
      <w:r w:rsidRPr="00003B49">
        <w:rPr>
          <w:lang w:val="en-GB"/>
        </w:rPr>
        <w:t>, hg. von Christiane K. Jurik (San Antonio: Ariel Ministries, 2019), 303–304.</w:t>
      </w:r>
    </w:p>
    <w:p w14:paraId="036E1A4C" w14:textId="77777777" w:rsidR="00003B49" w:rsidRPr="00003B49" w:rsidRDefault="00003B49" w:rsidP="00003B49">
      <w:pPr>
        <w:numPr>
          <w:ilvl w:val="0"/>
          <w:numId w:val="1"/>
        </w:numPr>
        <w:rPr>
          <w:lang w:val="en-GB"/>
        </w:rPr>
      </w:pPr>
      <w:r w:rsidRPr="00003B49">
        <w:rPr>
          <w:lang w:val="en-GB"/>
        </w:rPr>
        <w:t xml:space="preserve">Debra Reid, </w:t>
      </w:r>
      <w:r w:rsidRPr="00003B49">
        <w:rPr>
          <w:i/>
          <w:iCs/>
          <w:lang w:val="en-GB"/>
        </w:rPr>
        <w:t>Esther: An Introduction and Commentary</w:t>
      </w:r>
      <w:r w:rsidRPr="00003B49">
        <w:rPr>
          <w:lang w:val="en-GB"/>
        </w:rPr>
        <w:t>, Tyndale Old Testament Commentaries (Downers Grove: IVP, 2008), 150–151.</w:t>
      </w:r>
    </w:p>
    <w:p w14:paraId="31F37B26" w14:textId="77777777" w:rsidR="00003B49" w:rsidRPr="00003B49" w:rsidRDefault="00003B49" w:rsidP="00003B49">
      <w:pPr>
        <w:numPr>
          <w:ilvl w:val="0"/>
          <w:numId w:val="1"/>
        </w:numPr>
        <w:rPr>
          <w:lang w:val="en-GB"/>
        </w:rPr>
      </w:pPr>
      <w:r w:rsidRPr="00003B49">
        <w:rPr>
          <w:lang w:val="en-GB"/>
        </w:rPr>
        <w:t>B. C. Gregory, „</w:t>
      </w:r>
      <w:proofErr w:type="spellStart"/>
      <w:r w:rsidRPr="00003B49">
        <w:rPr>
          <w:lang w:val="en-GB"/>
        </w:rPr>
        <w:t>Megillot</w:t>
      </w:r>
      <w:proofErr w:type="spellEnd"/>
      <w:r w:rsidRPr="00003B49">
        <w:rPr>
          <w:lang w:val="en-GB"/>
        </w:rPr>
        <w:t xml:space="preserve"> and </w:t>
      </w:r>
      <w:proofErr w:type="gramStart"/>
      <w:r w:rsidRPr="00003B49">
        <w:rPr>
          <w:lang w:val="en-GB"/>
        </w:rPr>
        <w:t>Festivals“</w:t>
      </w:r>
      <w:proofErr w:type="gramEnd"/>
      <w:r w:rsidRPr="00003B49">
        <w:rPr>
          <w:lang w:val="en-GB"/>
        </w:rPr>
        <w:t xml:space="preserve">, in </w:t>
      </w:r>
      <w:r w:rsidRPr="00003B49">
        <w:rPr>
          <w:i/>
          <w:iCs/>
          <w:lang w:val="en-GB"/>
        </w:rPr>
        <w:t>Dictionary of the Old Testament: Wisdom, Poetry &amp; Writings</w:t>
      </w:r>
      <w:r w:rsidRPr="00003B49">
        <w:rPr>
          <w:lang w:val="en-GB"/>
        </w:rPr>
        <w:t>, hg. von Tremper Longman III und Peter Enns (Downers Grove: IVP Academic, 2008), 463.</w:t>
      </w:r>
    </w:p>
    <w:p w14:paraId="138A8B64" w14:textId="77777777" w:rsidR="00003B49" w:rsidRDefault="00003B49"/>
    <w:sectPr w:rsidR="00003B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636F3"/>
    <w:multiLevelType w:val="multilevel"/>
    <w:tmpl w:val="B2EE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82A4B"/>
    <w:multiLevelType w:val="multilevel"/>
    <w:tmpl w:val="8222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830950">
    <w:abstractNumId w:val="0"/>
  </w:num>
  <w:num w:numId="2" w16cid:durableId="198943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49"/>
    <w:rsid w:val="00003B49"/>
    <w:rsid w:val="005C2A10"/>
    <w:rsid w:val="00745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1A86"/>
  <w15:chartTrackingRefBased/>
  <w15:docId w15:val="{2DF53A6C-CDB7-4BE4-B7E9-A2061ECE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3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3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3B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3B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3B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3B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3B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3B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3B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3B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3B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3B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3B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3B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3B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3B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3B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3B49"/>
    <w:rPr>
      <w:rFonts w:eastAsiaTheme="majorEastAsia" w:cstheme="majorBidi"/>
      <w:color w:val="272727" w:themeColor="text1" w:themeTint="D8"/>
    </w:rPr>
  </w:style>
  <w:style w:type="paragraph" w:styleId="Titel">
    <w:name w:val="Title"/>
    <w:basedOn w:val="Standard"/>
    <w:next w:val="Standard"/>
    <w:link w:val="TitelZchn"/>
    <w:uiPriority w:val="10"/>
    <w:qFormat/>
    <w:rsid w:val="00003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3B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3B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3B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3B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3B49"/>
    <w:rPr>
      <w:i/>
      <w:iCs/>
      <w:color w:val="404040" w:themeColor="text1" w:themeTint="BF"/>
    </w:rPr>
  </w:style>
  <w:style w:type="paragraph" w:styleId="Listenabsatz">
    <w:name w:val="List Paragraph"/>
    <w:basedOn w:val="Standard"/>
    <w:uiPriority w:val="34"/>
    <w:qFormat/>
    <w:rsid w:val="00003B49"/>
    <w:pPr>
      <w:ind w:left="720"/>
      <w:contextualSpacing/>
    </w:pPr>
  </w:style>
  <w:style w:type="character" w:styleId="IntensiveHervorhebung">
    <w:name w:val="Intense Emphasis"/>
    <w:basedOn w:val="Absatz-Standardschriftart"/>
    <w:uiPriority w:val="21"/>
    <w:qFormat/>
    <w:rsid w:val="00003B49"/>
    <w:rPr>
      <w:i/>
      <w:iCs/>
      <w:color w:val="0F4761" w:themeColor="accent1" w:themeShade="BF"/>
    </w:rPr>
  </w:style>
  <w:style w:type="paragraph" w:styleId="IntensivesZitat">
    <w:name w:val="Intense Quote"/>
    <w:basedOn w:val="Standard"/>
    <w:next w:val="Standard"/>
    <w:link w:val="IntensivesZitatZchn"/>
    <w:uiPriority w:val="30"/>
    <w:qFormat/>
    <w:rsid w:val="00003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3B49"/>
    <w:rPr>
      <w:i/>
      <w:iCs/>
      <w:color w:val="0F4761" w:themeColor="accent1" w:themeShade="BF"/>
    </w:rPr>
  </w:style>
  <w:style w:type="character" w:styleId="IntensiverVerweis">
    <w:name w:val="Intense Reference"/>
    <w:basedOn w:val="Absatz-Standardschriftart"/>
    <w:uiPriority w:val="32"/>
    <w:qFormat/>
    <w:rsid w:val="00003B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4952</Characters>
  <Application>Microsoft Office Word</Application>
  <DocSecurity>0</DocSecurity>
  <Lines>99</Lines>
  <Paragraphs>25</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Bachmann</dc:creator>
  <cp:keywords/>
  <dc:description/>
  <cp:lastModifiedBy>Jörg Bachmann</cp:lastModifiedBy>
  <cp:revision>2</cp:revision>
  <dcterms:created xsi:type="dcterms:W3CDTF">2026-01-09T06:06:00Z</dcterms:created>
  <dcterms:modified xsi:type="dcterms:W3CDTF">2026-01-09T06:10:00Z</dcterms:modified>
</cp:coreProperties>
</file>